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left="425"/>
        <w:jc w:val="center"/>
        <w:spacing w:before="360" w:after="120"/>
        <w:rPr>
          <w:rFonts w:ascii="Times New Roman" w:hAnsi="Times New Roman" w:eastAsia="Calibri"/>
          <w:b/>
          <w:caps/>
          <w:szCs w:val="24"/>
        </w:rPr>
      </w:pPr>
      <w:r>
        <w:rPr>
          <w:rFonts w:ascii="Times New Roman" w:hAnsi="Times New Roman" w:eastAsia="Calibri"/>
          <w:b/>
          <w:caps/>
          <w:szCs w:val="24"/>
        </w:rPr>
        <w:t xml:space="preserve">ОБОСНОВАНИЕ начальной (ма</w:t>
      </w:r>
      <w:bookmarkStart w:id="0" w:name="_GoBack"/>
      <w:r/>
      <w:bookmarkEnd w:id="0"/>
      <w:r>
        <w:rPr>
          <w:rFonts w:ascii="Times New Roman" w:hAnsi="Times New Roman" w:eastAsia="Calibri"/>
          <w:b/>
          <w:caps/>
          <w:szCs w:val="24"/>
        </w:rPr>
        <w:t xml:space="preserve">ксимальной) цены договора</w:t>
      </w:r>
      <w:r>
        <w:rPr>
          <w:rFonts w:ascii="Times New Roman" w:hAnsi="Times New Roman" w:eastAsia="Calibri"/>
          <w:sz w:val="26"/>
          <w:szCs w:val="26"/>
        </w:rPr>
        <w:t xml:space="preserve"> / </w:t>
      </w:r>
      <w:r>
        <w:rPr>
          <w:rFonts w:ascii="Times New Roman" w:hAnsi="Times New Roman" w:eastAsia="Calibri"/>
          <w:b/>
          <w:caps/>
          <w:szCs w:val="24"/>
        </w:rPr>
        <w:t xml:space="preserve">цены единицы товара, работы, услуги</w:t>
      </w:r>
      <w:r>
        <w:rPr>
          <w:rFonts w:ascii="Times New Roman" w:hAnsi="Times New Roman" w:eastAsia="Calibri"/>
          <w:b/>
          <w:caps/>
          <w:szCs w:val="24"/>
        </w:rPr>
      </w:r>
      <w:r>
        <w:rPr>
          <w:rFonts w:ascii="Times New Roman" w:hAnsi="Times New Roman" w:eastAsia="Calibri"/>
          <w:b/>
          <w:caps/>
          <w:szCs w:val="24"/>
        </w:rPr>
      </w:r>
    </w:p>
    <w:p>
      <w:pPr>
        <w:numPr>
          <w:ilvl w:val="0"/>
          <w:numId w:val="1"/>
        </w:numPr>
        <w:ind w:left="714" w:hanging="357"/>
        <w:jc w:val="both"/>
        <w:spacing w:before="120" w:after="120" w:line="360" w:lineRule="exact"/>
        <w:rPr>
          <w:rFonts w:ascii="Times New Roman" w:hAnsi="Times New Roman" w:eastAsia="Calibri"/>
          <w:b/>
          <w:sz w:val="26"/>
          <w:szCs w:val="26"/>
        </w:rPr>
      </w:pPr>
      <w:r>
        <w:rPr>
          <w:rFonts w:ascii="Times New Roman" w:hAnsi="Times New Roman" w:eastAsia="Calibri"/>
          <w:b/>
          <w:sz w:val="26"/>
          <w:szCs w:val="26"/>
        </w:rPr>
        <w:t xml:space="preserve">Общая информация</w:t>
      </w:r>
      <w:r>
        <w:rPr>
          <w:rFonts w:ascii="Times New Roman" w:hAnsi="Times New Roman" w:eastAsia="Calibri"/>
          <w:b/>
          <w:sz w:val="26"/>
          <w:szCs w:val="26"/>
        </w:rPr>
      </w:r>
      <w:r>
        <w:rPr>
          <w:rFonts w:ascii="Times New Roman" w:hAnsi="Times New Roman" w:eastAsia="Calibri"/>
          <w:b/>
          <w:sz w:val="26"/>
          <w:szCs w:val="26"/>
        </w:rPr>
      </w:r>
    </w:p>
    <w:tbl>
      <w:tblPr>
        <w:tblStyle w:val="839"/>
        <w:tblW w:w="9776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709"/>
        <w:gridCol w:w="1701"/>
        <w:gridCol w:w="7366"/>
      </w:tblGrid>
      <w:tr>
        <w:tblPrEx/>
        <w:trPr>
          <w:trHeight w:val="459"/>
        </w:trPr>
        <w:tc>
          <w:tcPr>
            <w:tcW w:w="709" w:type="dxa"/>
            <w:textDirection w:val="lrTb"/>
            <w:noWrap w:val="false"/>
          </w:tcPr>
          <w:p>
            <w:pPr>
              <w:contextualSpacing/>
              <w:spacing w:before="120" w:line="240" w:lineRule="auto"/>
              <w:rPr>
                <w:rFonts w:ascii="Times New Roman" w:hAnsi="Times New Roman" w:eastAsia="Calibri"/>
                <w:sz w:val="22"/>
                <w:szCs w:val="22"/>
              </w:rPr>
            </w:pPr>
            <w:r>
              <w:rPr>
                <w:rFonts w:ascii="Times New Roman" w:hAnsi="Times New Roman" w:eastAsia="Calibri"/>
                <w:sz w:val="22"/>
                <w:szCs w:val="22"/>
              </w:rPr>
              <w:t xml:space="preserve">№ п/п</w:t>
            </w:r>
            <w:r>
              <w:rPr>
                <w:rFonts w:ascii="Times New Roman" w:hAnsi="Times New Roman" w:eastAsia="Calibri"/>
                <w:sz w:val="22"/>
                <w:szCs w:val="22"/>
              </w:rPr>
            </w:r>
            <w:r>
              <w:rPr>
                <w:rFonts w:ascii="Times New Roman" w:hAnsi="Times New Roman" w:eastAsia="Calibri"/>
                <w:sz w:val="22"/>
                <w:szCs w:val="22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contextualSpacing/>
              <w:spacing w:before="120" w:line="240" w:lineRule="auto"/>
              <w:rPr>
                <w:rFonts w:ascii="Times New Roman" w:hAnsi="Times New Roman" w:eastAsia="Calibri"/>
                <w:sz w:val="22"/>
                <w:szCs w:val="22"/>
              </w:rPr>
            </w:pPr>
            <w:r>
              <w:rPr>
                <w:rFonts w:ascii="Times New Roman" w:hAnsi="Times New Roman" w:eastAsia="Calibri"/>
                <w:sz w:val="22"/>
                <w:szCs w:val="22"/>
              </w:rPr>
              <w:t xml:space="preserve">Наименование</w:t>
            </w:r>
            <w:r>
              <w:rPr>
                <w:rFonts w:ascii="Times New Roman" w:hAnsi="Times New Roman" w:eastAsia="Calibri"/>
                <w:sz w:val="22"/>
                <w:szCs w:val="22"/>
              </w:rPr>
            </w:r>
            <w:r>
              <w:rPr>
                <w:rFonts w:ascii="Times New Roman" w:hAnsi="Times New Roman" w:eastAsia="Calibri"/>
                <w:sz w:val="22"/>
                <w:szCs w:val="22"/>
              </w:rPr>
            </w:r>
          </w:p>
        </w:tc>
        <w:tc>
          <w:tcPr>
            <w:tcW w:w="7366" w:type="dxa"/>
            <w:textDirection w:val="lrTb"/>
            <w:noWrap w:val="false"/>
          </w:tcPr>
          <w:p>
            <w:pPr>
              <w:contextualSpacing/>
              <w:spacing w:before="120" w:line="240" w:lineRule="auto"/>
              <w:rPr>
                <w:rFonts w:ascii="Times New Roman" w:hAnsi="Times New Roman" w:eastAsia="Calibri"/>
                <w:sz w:val="22"/>
                <w:szCs w:val="22"/>
              </w:rPr>
            </w:pPr>
            <w:r>
              <w:rPr>
                <w:rFonts w:ascii="Times New Roman" w:hAnsi="Times New Roman" w:eastAsia="Calibri"/>
                <w:sz w:val="22"/>
                <w:szCs w:val="22"/>
              </w:rPr>
              <w:t xml:space="preserve">Информация по лоту</w:t>
            </w:r>
            <w:r>
              <w:rPr>
                <w:rFonts w:ascii="Times New Roman" w:hAnsi="Times New Roman" w:eastAsia="Calibri"/>
                <w:sz w:val="22"/>
                <w:szCs w:val="22"/>
              </w:rPr>
            </w:r>
            <w:r>
              <w:rPr>
                <w:rFonts w:ascii="Times New Roman" w:hAnsi="Times New Roman" w:eastAsia="Calibri"/>
                <w:sz w:val="22"/>
                <w:szCs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numPr>
                <w:ilvl w:val="1"/>
                <w:numId w:val="1"/>
              </w:numPr>
              <w:contextualSpacing/>
              <w:ind w:left="0" w:firstLine="0"/>
              <w:spacing w:before="120" w:after="120" w:line="360" w:lineRule="exact"/>
              <w:rPr>
                <w:rFonts w:ascii="Times New Roman" w:hAnsi="Times New Roman" w:eastAsia="Calibri"/>
                <w:sz w:val="22"/>
                <w:szCs w:val="22"/>
              </w:rPr>
            </w:pPr>
            <w:r>
              <w:rPr>
                <w:rFonts w:ascii="Times New Roman" w:hAnsi="Times New Roman" w:eastAsia="Calibri"/>
                <w:sz w:val="22"/>
                <w:szCs w:val="22"/>
              </w:rPr>
            </w:r>
            <w:r>
              <w:rPr>
                <w:rFonts w:ascii="Times New Roman" w:hAnsi="Times New Roman" w:eastAsia="Calibri"/>
                <w:sz w:val="22"/>
                <w:szCs w:val="22"/>
              </w:rPr>
            </w:r>
            <w:r>
              <w:rPr>
                <w:rFonts w:ascii="Times New Roman" w:hAnsi="Times New Roman" w:eastAsia="Calibri"/>
                <w:sz w:val="22"/>
                <w:szCs w:val="22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contextualSpacing/>
              <w:spacing w:before="0" w:beforeAutospacing="0" w:line="240" w:lineRule="auto"/>
              <w:rPr>
                <w:rFonts w:ascii="Times New Roman" w:hAnsi="Times New Roman" w:eastAsia="Calibri"/>
                <w:sz w:val="22"/>
                <w:szCs w:val="22"/>
              </w:rPr>
            </w:pPr>
            <w:r>
              <w:rPr>
                <w:rFonts w:ascii="Times New Roman" w:hAnsi="Times New Roman" w:eastAsia="Calibri"/>
                <w:sz w:val="22"/>
                <w:szCs w:val="22"/>
              </w:rPr>
              <w:t xml:space="preserve">Наименование лота</w:t>
            </w:r>
            <w:r>
              <w:rPr>
                <w:rFonts w:ascii="Times New Roman" w:hAnsi="Times New Roman" w:eastAsia="Calibri"/>
                <w:sz w:val="22"/>
                <w:szCs w:val="22"/>
              </w:rPr>
            </w:r>
            <w:r>
              <w:rPr>
                <w:rFonts w:ascii="Times New Roman" w:hAnsi="Times New Roman" w:eastAsia="Calibri"/>
                <w:sz w:val="22"/>
                <w:szCs w:val="22"/>
              </w:rPr>
            </w:r>
          </w:p>
        </w:tc>
        <w:tc>
          <w:tcPr>
            <w:tcW w:w="7366" w:type="dxa"/>
            <w:textDirection w:val="lrTb"/>
            <w:noWrap w:val="false"/>
          </w:tcPr>
          <w:p>
            <w:pPr>
              <w:spacing w:line="240" w:lineRule="auto"/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z w:val="22"/>
                <w:szCs w:val="22"/>
                <w:lang w:eastAsia="en-US"/>
              </w:rPr>
              <w:t xml:space="preserve">ОКПД2 80.10.19.000 Оказание услуг по восстановлению работоспособности и технической документации на системы противопожарной защиты в структурных подразделениях АО "ДГК", расположенных в Хабаровском крае, Приморском крае и ЕАО</w:t>
            </w:r>
            <w:r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numPr>
                <w:ilvl w:val="1"/>
                <w:numId w:val="1"/>
              </w:numPr>
              <w:contextualSpacing/>
              <w:ind w:left="0" w:firstLine="0"/>
              <w:spacing w:before="120" w:after="120" w:line="360" w:lineRule="exact"/>
              <w:rPr>
                <w:rFonts w:ascii="Times New Roman" w:hAnsi="Times New Roman" w:eastAsia="Calibri"/>
                <w:sz w:val="22"/>
                <w:szCs w:val="22"/>
              </w:rPr>
            </w:pPr>
            <w:r>
              <w:rPr>
                <w:rFonts w:ascii="Times New Roman" w:hAnsi="Times New Roman" w:eastAsia="Calibri"/>
                <w:sz w:val="22"/>
                <w:szCs w:val="22"/>
              </w:rPr>
            </w:r>
            <w:r>
              <w:rPr>
                <w:rFonts w:ascii="Times New Roman" w:hAnsi="Times New Roman" w:eastAsia="Calibri"/>
                <w:sz w:val="22"/>
                <w:szCs w:val="22"/>
              </w:rPr>
            </w:r>
            <w:r>
              <w:rPr>
                <w:rFonts w:ascii="Times New Roman" w:hAnsi="Times New Roman" w:eastAsia="Calibri"/>
                <w:sz w:val="22"/>
                <w:szCs w:val="22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contextualSpacing/>
              <w:spacing w:before="0" w:beforeAutospacing="0" w:line="283" w:lineRule="atLeast"/>
              <w:rPr>
                <w:rFonts w:ascii="Times New Roman" w:hAnsi="Times New Roman" w:eastAsia="Calibri"/>
                <w:sz w:val="22"/>
                <w:szCs w:val="22"/>
              </w:rPr>
            </w:pPr>
            <w:r>
              <w:rPr>
                <w:rFonts w:ascii="Times New Roman" w:hAnsi="Times New Roman" w:eastAsia="Calibri"/>
                <w:sz w:val="22"/>
                <w:szCs w:val="22"/>
              </w:rPr>
              <w:t xml:space="preserve">Номер лота</w:t>
            </w:r>
            <w:r>
              <w:rPr>
                <w:rFonts w:ascii="Times New Roman" w:hAnsi="Times New Roman" w:eastAsia="Calibri"/>
                <w:sz w:val="22"/>
                <w:szCs w:val="22"/>
              </w:rPr>
            </w:r>
            <w:r>
              <w:rPr>
                <w:rFonts w:ascii="Times New Roman" w:hAnsi="Times New Roman" w:eastAsia="Calibri"/>
                <w:sz w:val="22"/>
                <w:szCs w:val="22"/>
              </w:rPr>
            </w:r>
          </w:p>
        </w:tc>
        <w:tc>
          <w:tcPr>
            <w:tcW w:w="7366" w:type="dxa"/>
            <w:vAlign w:val="center"/>
            <w:textDirection w:val="lrTb"/>
            <w:noWrap w:val="false"/>
          </w:tcPr>
          <w:p>
            <w:pPr>
              <w:spacing w:line="240" w:lineRule="auto"/>
              <w:widowControl w:val="off"/>
              <w:rPr>
                <w:rFonts w:ascii="Times New Roman" w:hAnsi="Times New Roman"/>
                <w:i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  <w:t xml:space="preserve">41005019-ЭКСП ПРОД-2025-ДГК</w:t>
            </w:r>
            <w:r>
              <w:rPr>
                <w:rFonts w:ascii="Times New Roman" w:hAnsi="Times New Roman"/>
                <w:i/>
                <w:sz w:val="22"/>
                <w:szCs w:val="22"/>
              </w:rPr>
            </w:r>
            <w:r>
              <w:rPr>
                <w:rFonts w:ascii="Times New Roman" w:hAnsi="Times New Roman"/>
                <w:i/>
                <w:sz w:val="22"/>
                <w:szCs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numPr>
                <w:ilvl w:val="1"/>
                <w:numId w:val="1"/>
              </w:numPr>
              <w:contextualSpacing/>
              <w:ind w:left="0" w:firstLine="0"/>
              <w:spacing w:before="120" w:after="120" w:line="360" w:lineRule="exact"/>
              <w:rPr>
                <w:rFonts w:ascii="Times New Roman" w:hAnsi="Times New Roman" w:eastAsia="Calibri"/>
                <w:sz w:val="22"/>
                <w:szCs w:val="22"/>
              </w:rPr>
            </w:pPr>
            <w:r>
              <w:rPr>
                <w:rFonts w:ascii="Times New Roman" w:hAnsi="Times New Roman" w:eastAsia="Calibri"/>
                <w:sz w:val="22"/>
                <w:szCs w:val="22"/>
              </w:rPr>
            </w:r>
            <w:r>
              <w:rPr>
                <w:rFonts w:ascii="Times New Roman" w:hAnsi="Times New Roman" w:eastAsia="Calibri"/>
                <w:sz w:val="22"/>
                <w:szCs w:val="22"/>
              </w:rPr>
            </w:r>
            <w:r>
              <w:rPr>
                <w:rFonts w:ascii="Times New Roman" w:hAnsi="Times New Roman" w:eastAsia="Calibri"/>
                <w:sz w:val="22"/>
                <w:szCs w:val="22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contextualSpacing/>
              <w:spacing w:before="0" w:beforeAutospacing="0" w:line="283" w:lineRule="atLeast"/>
              <w:rPr>
                <w:rFonts w:ascii="Times New Roman" w:hAnsi="Times New Roman" w:eastAsia="Calibri"/>
                <w:sz w:val="22"/>
                <w:szCs w:val="22"/>
              </w:rPr>
            </w:pPr>
            <w:r>
              <w:rPr>
                <w:rFonts w:ascii="Times New Roman" w:hAnsi="Times New Roman" w:eastAsia="Calibri"/>
                <w:sz w:val="22"/>
                <w:szCs w:val="22"/>
              </w:rPr>
              <w:t xml:space="preserve">НМЦ лота</w:t>
            </w:r>
            <w:r>
              <w:rPr>
                <w:rFonts w:ascii="Times New Roman" w:hAnsi="Times New Roman" w:eastAsia="Calibri"/>
                <w:sz w:val="22"/>
                <w:szCs w:val="22"/>
              </w:rPr>
            </w:r>
            <w:r>
              <w:rPr>
                <w:rFonts w:ascii="Times New Roman" w:hAnsi="Times New Roman" w:eastAsia="Calibri"/>
                <w:sz w:val="22"/>
                <w:szCs w:val="22"/>
              </w:rPr>
            </w:r>
          </w:p>
        </w:tc>
        <w:tc>
          <w:tcPr>
            <w:tcW w:w="7366" w:type="dxa"/>
            <w:vAlign w:val="center"/>
            <w:textDirection w:val="lrTb"/>
            <w:noWrap w:val="false"/>
          </w:tcPr>
          <w:p>
            <w:pPr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  <w:t xml:space="preserve">25 143 000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,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00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руб. без НДС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</w:tbl>
    <w:p>
      <w:pPr>
        <w:numPr>
          <w:ilvl w:val="0"/>
          <w:numId w:val="3"/>
        </w:numPr>
        <w:jc w:val="both"/>
        <w:spacing w:before="120" w:after="120" w:line="360" w:lineRule="exact"/>
        <w:rPr>
          <w:rFonts w:ascii="Times New Roman" w:hAnsi="Times New Roman" w:eastAsia="Calibri"/>
          <w:b/>
          <w:sz w:val="26"/>
          <w:szCs w:val="26"/>
        </w:rPr>
      </w:pPr>
      <w:r>
        <w:rPr>
          <w:rFonts w:ascii="Times New Roman" w:hAnsi="Times New Roman" w:eastAsia="Calibri"/>
          <w:b/>
          <w:sz w:val="26"/>
          <w:szCs w:val="26"/>
        </w:rPr>
        <w:t xml:space="preserve">Использованный метод (методы) </w:t>
      </w:r>
      <w:r>
        <w:rPr>
          <w:rFonts w:ascii="Times New Roman" w:hAnsi="Times New Roman" w:eastAsia="Calibri"/>
          <w:b/>
          <w:sz w:val="26"/>
          <w:szCs w:val="26"/>
        </w:rPr>
        <w:t xml:space="preserve">расчёта</w:t>
      </w:r>
      <w:r>
        <w:rPr>
          <w:rFonts w:ascii="Times New Roman" w:hAnsi="Times New Roman" w:eastAsia="Calibri"/>
          <w:b/>
          <w:sz w:val="26"/>
          <w:szCs w:val="26"/>
        </w:rPr>
        <w:t xml:space="preserve"> НМЦ / цены единицы товара, работы, услуги:</w:t>
      </w:r>
      <w:r>
        <w:rPr>
          <w:rFonts w:ascii="Times New Roman" w:hAnsi="Times New Roman" w:eastAsia="Calibri"/>
          <w:b/>
          <w:sz w:val="26"/>
          <w:szCs w:val="26"/>
        </w:rPr>
      </w:r>
      <w:r>
        <w:rPr>
          <w:rFonts w:ascii="Times New Roman" w:hAnsi="Times New Roman" w:eastAsia="Calibri"/>
          <w:b/>
          <w:sz w:val="26"/>
          <w:szCs w:val="26"/>
        </w:rPr>
      </w:r>
    </w:p>
    <w:p>
      <w:pPr>
        <w:pStyle w:val="841"/>
        <w:numPr>
          <w:ilvl w:val="0"/>
          <w:numId w:val="3"/>
        </w:numPr>
        <w:contextualSpacing/>
        <w:jc w:val="both"/>
        <w:spacing w:after="120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 xml:space="preserve">Метод анализа технико-коммерческих предложений</w:t>
      </w:r>
      <w:r>
        <w:rPr>
          <w:rFonts w:eastAsia="Calibri"/>
          <w:sz w:val="26"/>
          <w:szCs w:val="26"/>
        </w:rPr>
      </w:r>
      <w:r>
        <w:rPr>
          <w:rFonts w:eastAsia="Calibri"/>
          <w:sz w:val="26"/>
          <w:szCs w:val="26"/>
        </w:rPr>
      </w:r>
    </w:p>
    <w:p>
      <w:pPr>
        <w:pStyle w:val="841"/>
        <w:numPr>
          <w:ilvl w:val="0"/>
          <w:numId w:val="3"/>
        </w:numPr>
        <w:contextualSpacing/>
        <w:jc w:val="both"/>
        <w:spacing w:after="120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 xml:space="preserve">Обоснование расчёта НМЦ:</w:t>
      </w:r>
      <w:r>
        <w:rPr>
          <w:rFonts w:eastAsia="Calibri"/>
          <w:sz w:val="26"/>
          <w:szCs w:val="26"/>
        </w:rPr>
      </w:r>
      <w:r>
        <w:rPr>
          <w:rFonts w:eastAsia="Calibri"/>
          <w:sz w:val="26"/>
          <w:szCs w:val="26"/>
        </w:rPr>
      </w:r>
    </w:p>
    <w:tbl>
      <w:tblPr>
        <w:tblW w:w="9780" w:type="dxa"/>
        <w:tblInd w:w="-14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2409"/>
        <w:gridCol w:w="2268"/>
        <w:gridCol w:w="2126"/>
        <w:gridCol w:w="1701"/>
        <w:gridCol w:w="1276"/>
      </w:tblGrid>
      <w:tr>
        <w:tblPrEx/>
        <w:trPr>
          <w:trHeight w:val="70"/>
        </w:trPr>
        <w:tc>
          <w:tcPr>
            <w:shd w:val="clear" w:color="000000" w:fill="e7e6e6"/>
            <w:tcW w:w="240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 xml:space="preserve">Наименование товара/ работы/ услуги в составе лота</w:t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2"/>
                <w:szCs w:val="22"/>
                <w:lang w:eastAsia="ru-RU"/>
              </w:rPr>
            </w:r>
          </w:p>
        </w:tc>
        <w:tc>
          <w:tcPr>
            <w:shd w:val="clear" w:color="000000" w:fill="e7e6e6"/>
            <w:tcBorders>
              <w:bottom w:val="single" w:color="auto" w:sz="4" w:space="0"/>
            </w:tcBorders>
            <w:tcW w:w="226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/>
                <w:b/>
                <w:bCs/>
                <w:color w:val="000000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2"/>
                <w:szCs w:val="22"/>
                <w:highlight w:val="white"/>
                <w:lang w:eastAsia="ru-RU"/>
              </w:rPr>
              <w:t xml:space="preserve">Наименование источника ценовой информации (ИЦИ)</w:t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2"/>
                <w:szCs w:val="22"/>
                <w:highlight w:val="white"/>
              </w:rPr>
            </w:r>
          </w:p>
        </w:tc>
        <w:tc>
          <w:tcPr>
            <w:shd w:val="clear" w:color="000000" w:fill="e7e6e6"/>
            <w:tcBorders>
              <w:bottom w:val="single" w:color="auto" w:sz="4" w:space="0"/>
            </w:tcBorders>
            <w:tcW w:w="212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/>
                <w:b/>
                <w:bCs/>
                <w:color w:val="000000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2"/>
                <w:szCs w:val="22"/>
                <w:highlight w:val="white"/>
                <w:lang w:eastAsia="ru-RU"/>
              </w:rPr>
              <w:t xml:space="preserve">Цена из соответствующего ИЦИ, в руб. без НДС</w:t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2"/>
                <w:szCs w:val="22"/>
                <w:highlight w:val="white"/>
              </w:rPr>
            </w:r>
          </w:p>
        </w:tc>
        <w:tc>
          <w:tcPr>
            <w:shd w:val="clear" w:color="000000" w:fill="e7e6e6"/>
            <w:tcBorders>
              <w:bottom w:val="single" w:color="auto" w:sz="4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 xml:space="preserve">Цена итоговая, в руб. без НДС</w:t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2"/>
                <w:szCs w:val="22"/>
                <w:lang w:eastAsia="ru-RU"/>
              </w:rPr>
            </w:r>
          </w:p>
        </w:tc>
        <w:tc>
          <w:tcPr>
            <w:shd w:val="clear" w:color="000000" w:fill="e7e6e6"/>
            <w:tcBorders>
              <w:bottom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 xml:space="preserve">Комментарии</w:t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2"/>
                <w:szCs w:val="22"/>
                <w:lang w:eastAsia="ru-RU"/>
              </w:rPr>
            </w:r>
          </w:p>
        </w:tc>
      </w:tr>
      <w:tr>
        <w:tblPrEx/>
        <w:trPr>
          <w:trHeight w:val="1855"/>
        </w:trPr>
        <w:tc>
          <w:tcPr>
            <w:tcW w:w="2409" w:type="dxa"/>
            <w:vMerge w:val="restart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z w:val="22"/>
                <w:szCs w:val="22"/>
                <w:lang w:eastAsia="en-US"/>
              </w:rPr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2"/>
                <w:szCs w:val="22"/>
                <w:lang w:eastAsia="en-US"/>
              </w:rPr>
              <w:t xml:space="preserve">О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2"/>
                <w:szCs w:val="22"/>
                <w:lang w:eastAsia="en-US"/>
              </w:rPr>
              <w:t xml:space="preserve">КПД2 80.10.19.000 Оказание услуг по восстановлению рабочей, исполнительной  документации и приведение в соответствие с требованиями пожарной безопасности систем противопожарной защиты с восстановлением технических параметров в структурных подразделениях АО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2"/>
                <w:szCs w:val="22"/>
                <w:lang w:eastAsia="en-US"/>
              </w:rPr>
              <w:t xml:space="preserve"> "ДГК", расположенных в Хабаровском крае и Приморском крае</w:t>
            </w:r>
            <w:r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</w:rPr>
            </w:r>
          </w:p>
        </w:tc>
        <w:tc>
          <w:tcPr>
            <w:shd w:val="clear" w:color="auto" w:fill="auto"/>
            <w:tcW w:w="2268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ИП Макушенко Максим Сергеевич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shd w:val="clear" w:color="auto" w:fill="auto"/>
            <w:tcW w:w="2126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25 000 000,00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shd w:val="clear" w:color="auto" w:fill="auto"/>
            <w:tcW w:w="1701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25 143 000,00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spacing w:before="60" w:after="0" w:afterAutospacing="0"/>
              <w:rPr>
                <w:rFonts w:ascii="Times New Roman" w:hAnsi="Times New Roman" w:eastAsia="Times New Roman"/>
                <w:i/>
                <w:sz w:val="22"/>
                <w:szCs w:val="22"/>
                <w:shd w:val="clear" w:color="auto" w:fill="ffff99"/>
                <w:lang w:eastAsia="ru-RU"/>
              </w:rPr>
            </w:pPr>
            <w:r>
              <w:rPr>
                <w:rFonts w:ascii="Times New Roman" w:hAnsi="Times New Roman" w:eastAsia="Times New Roman"/>
                <w:i/>
                <w:sz w:val="22"/>
                <w:szCs w:val="22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/>
                <w:i/>
                <w:sz w:val="22"/>
                <w:szCs w:val="22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/>
                <w:i/>
                <w:sz w:val="22"/>
                <w:szCs w:val="22"/>
                <w:shd w:val="clear" w:color="auto" w:fill="ffff99"/>
                <w:lang w:eastAsia="ru-RU"/>
              </w:rPr>
            </w:r>
          </w:p>
        </w:tc>
      </w:tr>
      <w:tr>
        <w:tblPrEx/>
        <w:trPr>
          <w:trHeight w:val="1855"/>
        </w:trPr>
        <w:tc>
          <w:tcPr>
            <w:tcW w:w="2409" w:type="dxa"/>
            <w:vMerge w:val="continue"/>
            <w:textDirection w:val="lrTb"/>
            <w:noWrap w:val="false"/>
          </w:tcPr>
          <w:p>
            <w:pPr>
              <w:spacing w:before="60" w:after="60"/>
              <w:rPr>
                <w:rFonts w:ascii="Times New Roman" w:hAnsi="Times New Roman" w:eastAsia="Times New Roman"/>
                <w:i/>
                <w:sz w:val="22"/>
                <w:szCs w:val="22"/>
                <w:shd w:val="clear" w:color="auto" w:fill="ffff99"/>
                <w:lang w:eastAsia="ru-RU"/>
              </w:rPr>
            </w:pPr>
            <w:r>
              <w:rPr>
                <w:rFonts w:ascii="Times New Roman" w:hAnsi="Times New Roman" w:eastAsia="Times New Roman"/>
                <w:i/>
                <w:sz w:val="22"/>
                <w:szCs w:val="22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/>
                <w:i/>
                <w:sz w:val="22"/>
                <w:szCs w:val="22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/>
                <w:i/>
                <w:sz w:val="22"/>
                <w:szCs w:val="22"/>
                <w:shd w:val="clear" w:color="auto" w:fill="ffff99"/>
                <w:lang w:eastAsia="ru-RU"/>
              </w:rPr>
            </w:r>
          </w:p>
        </w:tc>
        <w:tc>
          <w:tcPr>
            <w:shd w:val="clear" w:color="auto" w:fill="auto"/>
            <w:tcW w:w="2268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ИП Гордеев Денис Александрович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shd w:val="clear" w:color="auto" w:fill="auto"/>
            <w:tcW w:w="2126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/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  <w:t xml:space="preserve">25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  <w:t xml:space="preserve"> 143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  <w:t xml:space="preserve"> 000,00</w:t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</w:p>
        </w:tc>
        <w:tc>
          <w:tcPr>
            <w:shd w:val="clear" w:color="auto" w:fill="auto"/>
            <w:tcW w:w="1701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spacing w:before="60" w:after="0" w:afterAutospacing="0"/>
              <w:rPr>
                <w:rFonts w:ascii="Times New Roman" w:hAnsi="Times New Roman" w:eastAsia="Times New Roman"/>
                <w:i/>
                <w:sz w:val="22"/>
                <w:szCs w:val="22"/>
                <w:shd w:val="clear" w:color="auto" w:fill="ffff99"/>
                <w:lang w:eastAsia="ru-RU"/>
              </w:rPr>
            </w:pPr>
            <w:r>
              <w:rPr>
                <w:rFonts w:ascii="Times New Roman" w:hAnsi="Times New Roman" w:eastAsia="Times New Roman"/>
                <w:i/>
                <w:sz w:val="22"/>
                <w:szCs w:val="22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/>
                <w:i/>
                <w:sz w:val="22"/>
                <w:szCs w:val="22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/>
                <w:i/>
                <w:sz w:val="22"/>
                <w:szCs w:val="22"/>
                <w:shd w:val="clear" w:color="auto" w:fill="ffff99"/>
                <w:lang w:eastAsia="ru-RU"/>
              </w:rPr>
            </w:r>
          </w:p>
        </w:tc>
      </w:tr>
      <w:tr>
        <w:tblPrEx/>
        <w:trPr>
          <w:trHeight w:val="1855"/>
        </w:trPr>
        <w:tc>
          <w:tcPr>
            <w:tcW w:w="2409" w:type="dxa"/>
            <w:vMerge w:val="continue"/>
            <w:textDirection w:val="lrTb"/>
            <w:noWrap w:val="false"/>
          </w:tcPr>
          <w:p>
            <w:pPr>
              <w:spacing w:before="60" w:after="60"/>
              <w:rPr>
                <w:rFonts w:ascii="Times New Roman" w:hAnsi="Times New Roman" w:eastAsia="Times New Roman"/>
                <w:i/>
                <w:sz w:val="22"/>
                <w:szCs w:val="22"/>
                <w:shd w:val="clear" w:color="auto" w:fill="ffff99"/>
                <w:lang w:eastAsia="ru-RU"/>
              </w:rPr>
            </w:pPr>
            <w:r>
              <w:rPr>
                <w:rFonts w:ascii="Times New Roman" w:hAnsi="Times New Roman" w:eastAsia="Times New Roman"/>
                <w:i/>
                <w:sz w:val="22"/>
                <w:szCs w:val="22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/>
                <w:i/>
                <w:sz w:val="22"/>
                <w:szCs w:val="22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/>
                <w:i/>
                <w:sz w:val="22"/>
                <w:szCs w:val="22"/>
                <w:shd w:val="clear" w:color="auto" w:fill="ffff99"/>
                <w:lang w:eastAsia="ru-RU"/>
              </w:rPr>
            </w:r>
          </w:p>
        </w:tc>
        <w:tc>
          <w:tcPr>
            <w:shd w:val="clear" w:color="auto" w:fill="auto"/>
            <w:tcW w:w="2268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ООО «Востокбезопасность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shd w:val="clear" w:color="auto" w:fill="auto"/>
            <w:tcW w:w="2126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25 286 000,00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shd w:val="clear" w:color="auto" w:fill="auto"/>
            <w:tcW w:w="1701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pStyle w:val="842"/>
              <w:spacing w:after="0" w:afterAutospacing="0"/>
              <w:rPr>
                <w:rFonts w:ascii="Times New Roman" w:hAnsi="Times New Roman"/>
                <w:sz w:val="22"/>
                <w:szCs w:val="22"/>
                <w:shd w:val="clear" w:color="auto" w:fill="ffff99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shd w:val="clear" w:color="auto" w:fill="ffff99"/>
                <w:lang w:eastAsia="ru-RU"/>
              </w:rPr>
            </w:r>
            <w:r>
              <w:rPr>
                <w:rFonts w:ascii="Times New Roman" w:hAnsi="Times New Roman"/>
                <w:sz w:val="22"/>
                <w:szCs w:val="22"/>
                <w:shd w:val="clear" w:color="auto" w:fill="ffff99"/>
                <w:lang w:eastAsia="ru-RU"/>
              </w:rPr>
            </w:r>
            <w:r>
              <w:rPr>
                <w:rFonts w:ascii="Times New Roman" w:hAnsi="Times New Roman"/>
                <w:sz w:val="22"/>
                <w:szCs w:val="22"/>
                <w:shd w:val="clear" w:color="auto" w:fill="ffff99"/>
                <w:lang w:eastAsia="ru-RU"/>
              </w:rPr>
            </w:r>
          </w:p>
        </w:tc>
      </w:tr>
    </w:tbl>
    <w:p>
      <w:r/>
    </w:p>
    <w:sectPr>
      <w:footnotePr/>
      <w:endnotePr/>
      <w:type w:val="nextPage"/>
      <w:pgSz w:w="11906" w:h="16838" w:orient="portrait"/>
      <w:pgMar w:top="709" w:right="849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egoe UI">
    <w:panose1 w:val="020B0503020204020204"/>
  </w:font>
  <w:font w:name="Calibri">
    <w:panose1 w:val="020F0502020204030204"/>
  </w:font>
  <w:font w:name="Geneva">
    <w:panose1 w:val="02000603000000000000"/>
  </w:font>
  <w:font w:name="Times New Roman">
    <w:panose1 w:val="02020603050405020304"/>
  </w:font>
  <w:font w:name="Geneva CY">
    <w:panose1 w:val="02000603000000000000"/>
  </w:font>
  <w:font w:name="Arial">
    <w:panose1 w:val="020B0604020202020204"/>
  </w:font>
  <w:font w:name="Cambria">
    <w:panose1 w:val="020408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60">
    <w:name w:val="Heading 1"/>
    <w:basedOn w:val="835"/>
    <w:next w:val="835"/>
    <w:link w:val="661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61">
    <w:name w:val="Heading 1 Char"/>
    <w:basedOn w:val="836"/>
    <w:link w:val="660"/>
    <w:uiPriority w:val="9"/>
    <w:rPr>
      <w:rFonts w:ascii="Arial" w:hAnsi="Arial" w:eastAsia="Arial" w:cs="Arial"/>
      <w:sz w:val="40"/>
      <w:szCs w:val="40"/>
    </w:rPr>
  </w:style>
  <w:style w:type="paragraph" w:styleId="662">
    <w:name w:val="Heading 2"/>
    <w:basedOn w:val="835"/>
    <w:next w:val="835"/>
    <w:link w:val="663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63">
    <w:name w:val="Heading 2 Char"/>
    <w:basedOn w:val="836"/>
    <w:link w:val="662"/>
    <w:uiPriority w:val="9"/>
    <w:rPr>
      <w:rFonts w:ascii="Arial" w:hAnsi="Arial" w:eastAsia="Arial" w:cs="Arial"/>
      <w:sz w:val="34"/>
    </w:rPr>
  </w:style>
  <w:style w:type="paragraph" w:styleId="664">
    <w:name w:val="Heading 3"/>
    <w:basedOn w:val="835"/>
    <w:next w:val="835"/>
    <w:link w:val="665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65">
    <w:name w:val="Heading 3 Char"/>
    <w:basedOn w:val="836"/>
    <w:link w:val="664"/>
    <w:uiPriority w:val="9"/>
    <w:rPr>
      <w:rFonts w:ascii="Arial" w:hAnsi="Arial" w:eastAsia="Arial" w:cs="Arial"/>
      <w:sz w:val="30"/>
      <w:szCs w:val="30"/>
    </w:rPr>
  </w:style>
  <w:style w:type="paragraph" w:styleId="666">
    <w:name w:val="Heading 4"/>
    <w:basedOn w:val="835"/>
    <w:next w:val="835"/>
    <w:link w:val="667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7">
    <w:name w:val="Heading 4 Char"/>
    <w:basedOn w:val="836"/>
    <w:link w:val="666"/>
    <w:uiPriority w:val="9"/>
    <w:rPr>
      <w:rFonts w:ascii="Arial" w:hAnsi="Arial" w:eastAsia="Arial" w:cs="Arial"/>
      <w:b/>
      <w:bCs/>
      <w:sz w:val="26"/>
      <w:szCs w:val="26"/>
    </w:rPr>
  </w:style>
  <w:style w:type="paragraph" w:styleId="668">
    <w:name w:val="Heading 5"/>
    <w:basedOn w:val="835"/>
    <w:next w:val="835"/>
    <w:link w:val="669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9">
    <w:name w:val="Heading 5 Char"/>
    <w:basedOn w:val="836"/>
    <w:link w:val="668"/>
    <w:uiPriority w:val="9"/>
    <w:rPr>
      <w:rFonts w:ascii="Arial" w:hAnsi="Arial" w:eastAsia="Arial" w:cs="Arial"/>
      <w:b/>
      <w:bCs/>
      <w:sz w:val="24"/>
      <w:szCs w:val="24"/>
    </w:rPr>
  </w:style>
  <w:style w:type="paragraph" w:styleId="670">
    <w:name w:val="Heading 6"/>
    <w:basedOn w:val="835"/>
    <w:next w:val="835"/>
    <w:link w:val="671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71">
    <w:name w:val="Heading 6 Char"/>
    <w:basedOn w:val="836"/>
    <w:link w:val="670"/>
    <w:uiPriority w:val="9"/>
    <w:rPr>
      <w:rFonts w:ascii="Arial" w:hAnsi="Arial" w:eastAsia="Arial" w:cs="Arial"/>
      <w:b/>
      <w:bCs/>
      <w:sz w:val="22"/>
      <w:szCs w:val="22"/>
    </w:rPr>
  </w:style>
  <w:style w:type="paragraph" w:styleId="672">
    <w:name w:val="Heading 7"/>
    <w:basedOn w:val="835"/>
    <w:next w:val="835"/>
    <w:link w:val="673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73">
    <w:name w:val="Heading 7 Char"/>
    <w:basedOn w:val="836"/>
    <w:link w:val="672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74">
    <w:name w:val="Heading 8"/>
    <w:basedOn w:val="835"/>
    <w:next w:val="835"/>
    <w:link w:val="675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75">
    <w:name w:val="Heading 8 Char"/>
    <w:basedOn w:val="836"/>
    <w:link w:val="674"/>
    <w:uiPriority w:val="9"/>
    <w:rPr>
      <w:rFonts w:ascii="Arial" w:hAnsi="Arial" w:eastAsia="Arial" w:cs="Arial"/>
      <w:i/>
      <w:iCs/>
      <w:sz w:val="22"/>
      <w:szCs w:val="22"/>
    </w:rPr>
  </w:style>
  <w:style w:type="paragraph" w:styleId="676">
    <w:name w:val="Heading 9"/>
    <w:basedOn w:val="835"/>
    <w:next w:val="835"/>
    <w:link w:val="677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7">
    <w:name w:val="Heading 9 Char"/>
    <w:basedOn w:val="836"/>
    <w:link w:val="676"/>
    <w:uiPriority w:val="9"/>
    <w:rPr>
      <w:rFonts w:ascii="Arial" w:hAnsi="Arial" w:eastAsia="Arial" w:cs="Arial"/>
      <w:i/>
      <w:iCs/>
      <w:sz w:val="21"/>
      <w:szCs w:val="21"/>
    </w:rPr>
  </w:style>
  <w:style w:type="paragraph" w:styleId="678">
    <w:name w:val="Title"/>
    <w:basedOn w:val="835"/>
    <w:next w:val="835"/>
    <w:link w:val="679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9">
    <w:name w:val="Title Char"/>
    <w:basedOn w:val="836"/>
    <w:link w:val="678"/>
    <w:uiPriority w:val="10"/>
    <w:rPr>
      <w:sz w:val="48"/>
      <w:szCs w:val="48"/>
    </w:rPr>
  </w:style>
  <w:style w:type="paragraph" w:styleId="680">
    <w:name w:val="Subtitle"/>
    <w:basedOn w:val="835"/>
    <w:next w:val="835"/>
    <w:link w:val="681"/>
    <w:uiPriority w:val="11"/>
    <w:qFormat/>
    <w:pPr>
      <w:spacing w:before="200" w:after="200"/>
    </w:pPr>
    <w:rPr>
      <w:sz w:val="24"/>
      <w:szCs w:val="24"/>
    </w:rPr>
  </w:style>
  <w:style w:type="character" w:styleId="681">
    <w:name w:val="Subtitle Char"/>
    <w:basedOn w:val="836"/>
    <w:link w:val="680"/>
    <w:uiPriority w:val="11"/>
    <w:rPr>
      <w:sz w:val="24"/>
      <w:szCs w:val="24"/>
    </w:rPr>
  </w:style>
  <w:style w:type="paragraph" w:styleId="682">
    <w:name w:val="Quote"/>
    <w:basedOn w:val="835"/>
    <w:next w:val="835"/>
    <w:link w:val="683"/>
    <w:uiPriority w:val="29"/>
    <w:qFormat/>
    <w:pPr>
      <w:ind w:left="720" w:right="720"/>
    </w:pPr>
    <w:rPr>
      <w:i/>
    </w:rPr>
  </w:style>
  <w:style w:type="character" w:styleId="683">
    <w:name w:val="Quote Char"/>
    <w:link w:val="682"/>
    <w:uiPriority w:val="29"/>
    <w:rPr>
      <w:i/>
    </w:rPr>
  </w:style>
  <w:style w:type="paragraph" w:styleId="684">
    <w:name w:val="Intense Quote"/>
    <w:basedOn w:val="835"/>
    <w:next w:val="835"/>
    <w:link w:val="685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5">
    <w:name w:val="Intense Quote Char"/>
    <w:link w:val="684"/>
    <w:uiPriority w:val="30"/>
    <w:rPr>
      <w:i/>
    </w:rPr>
  </w:style>
  <w:style w:type="paragraph" w:styleId="686">
    <w:name w:val="Header"/>
    <w:basedOn w:val="835"/>
    <w:link w:val="68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7">
    <w:name w:val="Header Char"/>
    <w:basedOn w:val="836"/>
    <w:link w:val="686"/>
    <w:uiPriority w:val="99"/>
  </w:style>
  <w:style w:type="paragraph" w:styleId="688">
    <w:name w:val="Footer"/>
    <w:basedOn w:val="835"/>
    <w:link w:val="691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9">
    <w:name w:val="Footer Char"/>
    <w:basedOn w:val="836"/>
    <w:link w:val="688"/>
    <w:uiPriority w:val="99"/>
  </w:style>
  <w:style w:type="paragraph" w:styleId="690">
    <w:name w:val="Caption"/>
    <w:basedOn w:val="835"/>
    <w:next w:val="835"/>
    <w:link w:val="691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91">
    <w:name w:val="Caption Char"/>
    <w:basedOn w:val="690"/>
    <w:link w:val="688"/>
    <w:uiPriority w:val="99"/>
  </w:style>
  <w:style w:type="table" w:styleId="692">
    <w:name w:val="Table Grid Light"/>
    <w:basedOn w:val="837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3">
    <w:name w:val="Plain Table 1"/>
    <w:basedOn w:val="837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4">
    <w:name w:val="Plain Table 2"/>
    <w:basedOn w:val="837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5">
    <w:name w:val="Plain Table 3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6">
    <w:name w:val="Plain Table 4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Plain Table 5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8">
    <w:name w:val="Grid Table 1 Light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Grid Table 1 Light - Accent 1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Grid Table 1 Light - Accent 2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>
    <w:name w:val="Grid Table 1 Light - Accent 3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2">
    <w:name w:val="Grid Table 1 Light - Accent 4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3">
    <w:name w:val="Grid Table 1 Light - Accent 5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4">
    <w:name w:val="Grid Table 1 Light - Accent 6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5">
    <w:name w:val="Grid Table 2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2 - Accent 1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2 - Accent 2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2 - Accent 3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2 - Accent 4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2 - Accent 5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2 - Accent 6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3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3 - Accent 1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3 - Accent 2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3 - Accent 3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3 - Accent 4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7">
    <w:name w:val="Grid Table 3 - Accent 5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8">
    <w:name w:val="Grid Table 3 - Accent 6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9">
    <w:name w:val="Grid Table 4"/>
    <w:basedOn w:val="83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20">
    <w:name w:val="Grid Table 4 - Accent 1"/>
    <w:basedOn w:val="83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21">
    <w:name w:val="Grid Table 4 - Accent 2"/>
    <w:basedOn w:val="83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22">
    <w:name w:val="Grid Table 4 - Accent 3"/>
    <w:basedOn w:val="83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23">
    <w:name w:val="Grid Table 4 - Accent 4"/>
    <w:basedOn w:val="83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4">
    <w:name w:val="Grid Table 4 - Accent 5"/>
    <w:basedOn w:val="83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5">
    <w:name w:val="Grid Table 4 - Accent 6"/>
    <w:basedOn w:val="83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6">
    <w:name w:val="Grid Table 5 Dark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7">
    <w:name w:val="Grid Table 5 Dark- Accent 1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728">
    <w:name w:val="Grid Table 5 Dark - Accent 2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729">
    <w:name w:val="Grid Table 5 Dark - Accent 3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730">
    <w:name w:val="Grid Table 5 Dark- Accent 4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731">
    <w:name w:val="Grid Table 5 Dark - Accent 5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732">
    <w:name w:val="Grid Table 5 Dark - Accent 6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733">
    <w:name w:val="Grid Table 6 Colorful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4">
    <w:name w:val="Grid Table 6 Colorful - Accent 1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5">
    <w:name w:val="Grid Table 6 Colorful - Accent 2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6">
    <w:name w:val="Grid Table 6 Colorful - Accent 3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7">
    <w:name w:val="Grid Table 6 Colorful - Accent 4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8">
    <w:name w:val="Grid Table 6 Colorful - Accent 5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9">
    <w:name w:val="Grid Table 6 Colorful - Accent 6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40">
    <w:name w:val="Grid Table 7 Colorful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7 Colorful - Accent 1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7 Colorful - Accent 2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Grid Table 7 Colorful - Accent 3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Grid Table 7 Colorful - Accent 4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Grid Table 7 Colorful - Accent 5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Grid Table 7 Colorful - Accent 6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1 Light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1 Light - Accent 1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1 Light - Accent 2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1 Light - Accent 3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List Table 1 Light - Accent 4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List Table 1 Light - Accent 5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>
    <w:name w:val="List Table 1 Light - Accent 6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>
    <w:name w:val="List Table 2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5">
    <w:name w:val="List Table 2 - Accent 1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6">
    <w:name w:val="List Table 2 - Accent 2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7">
    <w:name w:val="List Table 2 - Accent 3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8">
    <w:name w:val="List Table 2 - Accent 4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9">
    <w:name w:val="List Table 2 - Accent 5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60">
    <w:name w:val="List Table 2 - Accent 6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61">
    <w:name w:val="List Table 3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3 - Accent 1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3 - Accent 2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3 - Accent 3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3 - Accent 4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3 - Accent 5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3 - Accent 6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4 - Accent 1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4 - Accent 2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4 - Accent 3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4 - Accent 4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>
    <w:name w:val="List Table 4 - Accent 5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>
    <w:name w:val="List Table 4 - Accent 6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5">
    <w:name w:val="List Table 5 Dark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6">
    <w:name w:val="List Table 5 Dark - Accent 1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7">
    <w:name w:val="List Table 5 Dark - Accent 2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8">
    <w:name w:val="List Table 5 Dark - Accent 3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9">
    <w:name w:val="List Table 5 Dark - Accent 4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0">
    <w:name w:val="List Table 5 Dark - Accent 5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1">
    <w:name w:val="List Table 5 Dark - Accent 6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2">
    <w:name w:val="List Table 6 Colorful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83">
    <w:name w:val="List Table 6 Colorful - Accent 1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4">
    <w:name w:val="List Table 6 Colorful - Accent 2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5">
    <w:name w:val="List Table 6 Colorful - Accent 3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6">
    <w:name w:val="List Table 6 Colorful - Accent 4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7">
    <w:name w:val="List Table 6 Colorful - Accent 5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8">
    <w:name w:val="List Table 6 Colorful - Accent 6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9">
    <w:name w:val="List Table 7 Colorful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90">
    <w:name w:val="List Table 7 Colorful - Accent 1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791">
    <w:name w:val="List Table 7 Colorful - Accent 2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792">
    <w:name w:val="List Table 7 Colorful - Accent 3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793">
    <w:name w:val="List Table 7 Colorful - Accent 4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794">
    <w:name w:val="List Table 7 Colorful - Accent 5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795">
    <w:name w:val="List Table 7 Colorful - Accent 6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796">
    <w:name w:val="Lined - Accent"/>
    <w:basedOn w:val="83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7">
    <w:name w:val="Lined - Accent 1"/>
    <w:basedOn w:val="83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798">
    <w:name w:val="Lined - Accent 2"/>
    <w:basedOn w:val="83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799">
    <w:name w:val="Lined - Accent 3"/>
    <w:basedOn w:val="83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00">
    <w:name w:val="Lined - Accent 4"/>
    <w:basedOn w:val="83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01">
    <w:name w:val="Lined - Accent 5"/>
    <w:basedOn w:val="83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02">
    <w:name w:val="Lined - Accent 6"/>
    <w:basedOn w:val="83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03">
    <w:name w:val="Bordered &amp; Lined - Accent"/>
    <w:basedOn w:val="83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4">
    <w:name w:val="Bordered &amp; Lined - Accent 1"/>
    <w:basedOn w:val="83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805">
    <w:name w:val="Bordered &amp; Lined - Accent 2"/>
    <w:basedOn w:val="83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06">
    <w:name w:val="Bordered &amp; Lined - Accent 3"/>
    <w:basedOn w:val="83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07">
    <w:name w:val="Bordered &amp; Lined - Accent 4"/>
    <w:basedOn w:val="83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08">
    <w:name w:val="Bordered &amp; Lined - Accent 5"/>
    <w:basedOn w:val="83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09">
    <w:name w:val="Bordered &amp; Lined - Accent 6"/>
    <w:basedOn w:val="83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10">
    <w:name w:val="Bordered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11">
    <w:name w:val="Bordered - Accent 1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12">
    <w:name w:val="Bordered - Accent 2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13">
    <w:name w:val="Bordered - Accent 3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4">
    <w:name w:val="Bordered - Accent 4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5">
    <w:name w:val="Bordered - Accent 5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6">
    <w:name w:val="Bordered - Accent 6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17">
    <w:name w:val="Hyperlink"/>
    <w:uiPriority w:val="99"/>
    <w:unhideWhenUsed/>
    <w:rPr>
      <w:color w:val="0000ff" w:themeColor="hyperlink"/>
      <w:u w:val="single"/>
    </w:rPr>
  </w:style>
  <w:style w:type="paragraph" w:styleId="818">
    <w:name w:val="footnote text"/>
    <w:basedOn w:val="835"/>
    <w:link w:val="819"/>
    <w:uiPriority w:val="99"/>
    <w:semiHidden/>
    <w:unhideWhenUsed/>
    <w:pPr>
      <w:spacing w:after="40" w:line="240" w:lineRule="auto"/>
    </w:pPr>
    <w:rPr>
      <w:sz w:val="18"/>
    </w:rPr>
  </w:style>
  <w:style w:type="character" w:styleId="819">
    <w:name w:val="Footnote Text Char"/>
    <w:link w:val="818"/>
    <w:uiPriority w:val="99"/>
    <w:rPr>
      <w:sz w:val="18"/>
    </w:rPr>
  </w:style>
  <w:style w:type="character" w:styleId="820">
    <w:name w:val="footnote reference"/>
    <w:basedOn w:val="836"/>
    <w:uiPriority w:val="99"/>
    <w:unhideWhenUsed/>
    <w:rPr>
      <w:vertAlign w:val="superscript"/>
    </w:rPr>
  </w:style>
  <w:style w:type="paragraph" w:styleId="821">
    <w:name w:val="endnote text"/>
    <w:basedOn w:val="835"/>
    <w:link w:val="822"/>
    <w:uiPriority w:val="99"/>
    <w:semiHidden/>
    <w:unhideWhenUsed/>
    <w:pPr>
      <w:spacing w:after="0" w:line="240" w:lineRule="auto"/>
    </w:pPr>
    <w:rPr>
      <w:sz w:val="20"/>
    </w:rPr>
  </w:style>
  <w:style w:type="character" w:styleId="822">
    <w:name w:val="Endnote Text Char"/>
    <w:link w:val="821"/>
    <w:uiPriority w:val="99"/>
    <w:rPr>
      <w:sz w:val="20"/>
    </w:rPr>
  </w:style>
  <w:style w:type="character" w:styleId="823">
    <w:name w:val="endnote reference"/>
    <w:basedOn w:val="836"/>
    <w:uiPriority w:val="99"/>
    <w:semiHidden/>
    <w:unhideWhenUsed/>
    <w:rPr>
      <w:vertAlign w:val="superscript"/>
    </w:rPr>
  </w:style>
  <w:style w:type="paragraph" w:styleId="824">
    <w:name w:val="toc 1"/>
    <w:basedOn w:val="835"/>
    <w:next w:val="835"/>
    <w:uiPriority w:val="39"/>
    <w:unhideWhenUsed/>
    <w:pPr>
      <w:ind w:left="0" w:right="0" w:firstLine="0"/>
      <w:spacing w:after="57"/>
    </w:pPr>
  </w:style>
  <w:style w:type="paragraph" w:styleId="825">
    <w:name w:val="toc 2"/>
    <w:basedOn w:val="835"/>
    <w:next w:val="835"/>
    <w:uiPriority w:val="39"/>
    <w:unhideWhenUsed/>
    <w:pPr>
      <w:ind w:left="283" w:right="0" w:firstLine="0"/>
      <w:spacing w:after="57"/>
    </w:pPr>
  </w:style>
  <w:style w:type="paragraph" w:styleId="826">
    <w:name w:val="toc 3"/>
    <w:basedOn w:val="835"/>
    <w:next w:val="835"/>
    <w:uiPriority w:val="39"/>
    <w:unhideWhenUsed/>
    <w:pPr>
      <w:ind w:left="567" w:right="0" w:firstLine="0"/>
      <w:spacing w:after="57"/>
    </w:pPr>
  </w:style>
  <w:style w:type="paragraph" w:styleId="827">
    <w:name w:val="toc 4"/>
    <w:basedOn w:val="835"/>
    <w:next w:val="835"/>
    <w:uiPriority w:val="39"/>
    <w:unhideWhenUsed/>
    <w:pPr>
      <w:ind w:left="850" w:right="0" w:firstLine="0"/>
      <w:spacing w:after="57"/>
    </w:pPr>
  </w:style>
  <w:style w:type="paragraph" w:styleId="828">
    <w:name w:val="toc 5"/>
    <w:basedOn w:val="835"/>
    <w:next w:val="835"/>
    <w:uiPriority w:val="39"/>
    <w:unhideWhenUsed/>
    <w:pPr>
      <w:ind w:left="1134" w:right="0" w:firstLine="0"/>
      <w:spacing w:after="57"/>
    </w:pPr>
  </w:style>
  <w:style w:type="paragraph" w:styleId="829">
    <w:name w:val="toc 6"/>
    <w:basedOn w:val="835"/>
    <w:next w:val="835"/>
    <w:uiPriority w:val="39"/>
    <w:unhideWhenUsed/>
    <w:pPr>
      <w:ind w:left="1417" w:right="0" w:firstLine="0"/>
      <w:spacing w:after="57"/>
    </w:pPr>
  </w:style>
  <w:style w:type="paragraph" w:styleId="830">
    <w:name w:val="toc 7"/>
    <w:basedOn w:val="835"/>
    <w:next w:val="835"/>
    <w:uiPriority w:val="39"/>
    <w:unhideWhenUsed/>
    <w:pPr>
      <w:ind w:left="1701" w:right="0" w:firstLine="0"/>
      <w:spacing w:after="57"/>
    </w:pPr>
  </w:style>
  <w:style w:type="paragraph" w:styleId="831">
    <w:name w:val="toc 8"/>
    <w:basedOn w:val="835"/>
    <w:next w:val="835"/>
    <w:uiPriority w:val="39"/>
    <w:unhideWhenUsed/>
    <w:pPr>
      <w:ind w:left="1984" w:right="0" w:firstLine="0"/>
      <w:spacing w:after="57"/>
    </w:pPr>
  </w:style>
  <w:style w:type="paragraph" w:styleId="832">
    <w:name w:val="toc 9"/>
    <w:basedOn w:val="835"/>
    <w:next w:val="835"/>
    <w:uiPriority w:val="39"/>
    <w:unhideWhenUsed/>
    <w:pPr>
      <w:ind w:left="2268" w:right="0" w:firstLine="0"/>
      <w:spacing w:after="57"/>
    </w:pPr>
  </w:style>
  <w:style w:type="paragraph" w:styleId="833">
    <w:name w:val="TOC Heading"/>
    <w:uiPriority w:val="39"/>
    <w:unhideWhenUsed/>
  </w:style>
  <w:style w:type="paragraph" w:styleId="834">
    <w:name w:val="table of figures"/>
    <w:basedOn w:val="835"/>
    <w:next w:val="835"/>
    <w:uiPriority w:val="99"/>
    <w:unhideWhenUsed/>
    <w:pPr>
      <w:spacing w:after="0" w:afterAutospacing="0"/>
    </w:pPr>
  </w:style>
  <w:style w:type="paragraph" w:styleId="835" w:default="1">
    <w:name w:val="Normal"/>
    <w:qFormat/>
    <w:pPr>
      <w:spacing w:after="0" w:line="240" w:lineRule="auto"/>
    </w:pPr>
    <w:rPr>
      <w:rFonts w:ascii="Geneva CY" w:hAnsi="Geneva CY" w:eastAsia="Geneva" w:cs="Times New Roman"/>
      <w:sz w:val="24"/>
      <w:szCs w:val="20"/>
    </w:rPr>
  </w:style>
  <w:style w:type="character" w:styleId="836" w:default="1">
    <w:name w:val="Default Paragraph Font"/>
    <w:uiPriority w:val="1"/>
    <w:semiHidden/>
    <w:unhideWhenUsed/>
  </w:style>
  <w:style w:type="table" w:styleId="837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8" w:default="1">
    <w:name w:val="No List"/>
    <w:uiPriority w:val="99"/>
    <w:semiHidden/>
    <w:unhideWhenUsed/>
  </w:style>
  <w:style w:type="table" w:styleId="839" w:customStyle="1">
    <w:name w:val="Сетка таблицы1"/>
    <w:basedOn w:val="837"/>
    <w:next w:val="840"/>
    <w:uiPriority w:val="59"/>
    <w:pPr>
      <w:jc w:val="both"/>
      <w:spacing w:after="0" w:line="240" w:lineRule="auto"/>
    </w:pPr>
    <w:rPr>
      <w:rFonts w:ascii="Times New Roman" w:hAnsi="Times New Roman" w:eastAsia="Calibri" w:cs="Times New Roman"/>
      <w:sz w:val="26"/>
      <w:szCs w:val="26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840">
    <w:name w:val="Table Grid"/>
    <w:basedOn w:val="837"/>
    <w:uiPriority w:val="3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841">
    <w:name w:val="List Paragraph"/>
    <w:basedOn w:val="835"/>
    <w:uiPriority w:val="34"/>
    <w:qFormat/>
    <w:pPr>
      <w:ind w:left="720"/>
    </w:pPr>
    <w:rPr>
      <w:rFonts w:ascii="Times New Roman" w:hAnsi="Times New Roman" w:eastAsia="Times New Roman"/>
      <w:sz w:val="20"/>
      <w:lang w:eastAsia="ru-RU"/>
    </w:rPr>
  </w:style>
  <w:style w:type="paragraph" w:styleId="842">
    <w:name w:val="No Spacing"/>
    <w:uiPriority w:val="1"/>
    <w:qFormat/>
    <w:pPr>
      <w:spacing w:after="0" w:line="240" w:lineRule="auto"/>
    </w:pPr>
    <w:rPr>
      <w:rFonts w:ascii="Geneva CY" w:hAnsi="Geneva CY" w:eastAsia="Geneva" w:cs="Times New Roman"/>
      <w:sz w:val="24"/>
      <w:szCs w:val="20"/>
    </w:rPr>
  </w:style>
  <w:style w:type="paragraph" w:styleId="843">
    <w:name w:val="Balloon Text"/>
    <w:basedOn w:val="835"/>
    <w:link w:val="844"/>
    <w:uiPriority w:val="99"/>
    <w:semiHidden/>
    <w:unhideWhenUsed/>
    <w:rPr>
      <w:rFonts w:ascii="Segoe UI" w:hAnsi="Segoe UI" w:cs="Segoe UI"/>
      <w:sz w:val="18"/>
      <w:szCs w:val="18"/>
    </w:rPr>
  </w:style>
  <w:style w:type="character" w:styleId="844" w:customStyle="1">
    <w:name w:val="Текст выноски Знак"/>
    <w:basedOn w:val="836"/>
    <w:link w:val="843"/>
    <w:uiPriority w:val="99"/>
    <w:semiHidden/>
    <w:rPr>
      <w:rFonts w:ascii="Segoe UI" w:hAnsi="Segoe UI" w:eastAsia="Geneva" w:cs="Segoe UI"/>
      <w:sz w:val="18"/>
      <w:szCs w:val="18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DVGK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Анохина Александра Владимировна</dc:creator>
  <cp:keywords/>
  <dc:description/>
  <cp:lastModifiedBy>lescheva_ee</cp:lastModifiedBy>
  <cp:revision>31</cp:revision>
  <dcterms:created xsi:type="dcterms:W3CDTF">2021-12-23T05:59:00Z</dcterms:created>
  <dcterms:modified xsi:type="dcterms:W3CDTF">2025-07-24T23:02:49Z</dcterms:modified>
</cp:coreProperties>
</file>